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3921" w14:textId="1F8409EA" w:rsid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  <w:r w:rsidRPr="00EA56EE"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  <w:t>ПРЕДИСЛОВИЕ</w:t>
      </w:r>
    </w:p>
    <w:p w14:paraId="70F87DB2" w14:textId="77777777" w:rsidR="002834CC" w:rsidRPr="00EA56EE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</w:p>
    <w:p w14:paraId="722EB023" w14:textId="3F829DFA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proofErr w:type="gramStart"/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EA56EE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="00D471C4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="00D471C4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1608</w:t>
      </w:r>
      <w:r w:rsid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«Об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(с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изменениями),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Основными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proofErr w:type="gramEnd"/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="006E32C3">
        <w:rPr>
          <w:rFonts w:ascii="Times New Roman" w:hAnsi="Times New Roman" w:cs="Times New Roman"/>
          <w:color w:val="231F20"/>
          <w:spacing w:val="14"/>
          <w:sz w:val="26"/>
          <w:szCs w:val="26"/>
        </w:rPr>
        <w:br/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="006E32C3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2648-р.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сроки, установленные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="00D471C4">
        <w:rPr>
          <w:rFonts w:ascii="Times New Roman" w:hAnsi="Times New Roman" w:cs="Times New Roman"/>
          <w:color w:val="231F20"/>
          <w:spacing w:val="42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июля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1126</w:t>
      </w:r>
      <w:r w:rsid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14:paraId="59C57DD5" w14:textId="77777777" w:rsidR="002834CC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04282628" w14:textId="5B800826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1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«Численность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размещение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населения»</w:t>
      </w:r>
    </w:p>
    <w:p w14:paraId="134C6E54" w14:textId="0103484C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 населенным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пунктам,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образованиям,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поселениям,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субъектам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округам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 в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Приводятся</w:t>
      </w:r>
      <w:r w:rsidRPr="00EA56EE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районов,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поселений,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proofErr w:type="gramStart"/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проживающего</w:t>
      </w:r>
      <w:proofErr w:type="gramEnd"/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населенных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пунктах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различных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размеров.</w:t>
      </w:r>
    </w:p>
    <w:p w14:paraId="2EC06B8E" w14:textId="77777777" w:rsidR="002834CC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59FAEA3F" w14:textId="20A18597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2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«Возрастно-половой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состав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состояние</w:t>
      </w: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i/>
          <w:iCs/>
          <w:color w:val="231F20"/>
          <w:spacing w:val="-10"/>
          <w:w w:val="10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браке»</w:t>
      </w:r>
    </w:p>
    <w:p w14:paraId="09F95BDD" w14:textId="1719CBED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 по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возрасту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отдельным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возрастным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группам,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D471C4">
        <w:rPr>
          <w:rFonts w:ascii="Times New Roman" w:hAnsi="Times New Roman" w:cs="Times New Roman"/>
          <w:color w:val="231F20"/>
          <w:spacing w:val="6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демографической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нагрузке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население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трудоспособного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возраста,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D471C4">
        <w:rPr>
          <w:rFonts w:ascii="Times New Roman" w:hAnsi="Times New Roman" w:cs="Times New Roman"/>
          <w:color w:val="231F20"/>
          <w:spacing w:val="32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характеристике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состоянию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браке.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Представленные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таблицы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населении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России в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целом,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федеральных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="00D471C4">
        <w:rPr>
          <w:rFonts w:ascii="Times New Roman" w:hAnsi="Times New Roman" w:cs="Times New Roman"/>
          <w:color w:val="231F20"/>
          <w:spacing w:val="32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субъектов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 Федерации.</w:t>
      </w:r>
    </w:p>
    <w:p w14:paraId="3E45F31E" w14:textId="77777777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8CAAD4" w14:textId="77777777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3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«Образование»</w:t>
      </w:r>
    </w:p>
    <w:p w14:paraId="31E4B916" w14:textId="696074BA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данные,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характеризующие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уровень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сочетании с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местом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жительства,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занятостью,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="00D471C4">
        <w:rPr>
          <w:rFonts w:ascii="Times New Roman" w:hAnsi="Times New Roman" w:cs="Times New Roman"/>
          <w:color w:val="231F20"/>
          <w:spacing w:val="38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информация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освоении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программ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наличии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ученых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степеней.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Представленные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таблицы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D471C4">
        <w:rPr>
          <w:rFonts w:ascii="Times New Roman" w:hAnsi="Times New Roman" w:cs="Times New Roman"/>
          <w:color w:val="231F20"/>
          <w:spacing w:val="36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населении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целом,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федеральных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субъектов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Федерации.</w:t>
      </w:r>
    </w:p>
    <w:p w14:paraId="1E9D42AC" w14:textId="0A3DF02E" w:rsidR="00A97E37" w:rsidRPr="002834CC" w:rsidRDefault="00A97E37" w:rsidP="0028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024910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4 – «Гражданство»</w:t>
      </w:r>
    </w:p>
    <w:p w14:paraId="46B9CA92" w14:textId="074062D5" w:rsidR="00C819AF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гражданстве населения России в целом и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субъектов Российской Федерации в сочетании с демографическими характеристиками.</w:t>
      </w:r>
    </w:p>
    <w:p w14:paraId="51D0785D" w14:textId="77777777" w:rsidR="002834CC" w:rsidRPr="002834CC" w:rsidRDefault="002834CC" w:rsidP="002834CC">
      <w:pPr>
        <w:jc w:val="both"/>
      </w:pPr>
    </w:p>
    <w:p w14:paraId="609D221F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lastRenderedPageBreak/>
        <w:t>Том 5 – «Национальный состав и владение языками»</w:t>
      </w:r>
    </w:p>
    <w:p w14:paraId="0732EC5C" w14:textId="35D71BAD" w:rsidR="00C819AF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национальном составе населения, о родных языках, о владении языками и использовании их в повседневной жизни, о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численности населения отдельных этнических групп и подгрупп, их размещении на территории России в сочетании с демографическими, социальными и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экономическими характеристиками. В томе также представлены социально-экономические и демографические характеристики коренных малочисленных народов Российской Федерации. </w:t>
      </w:r>
    </w:p>
    <w:p w14:paraId="1D85AB92" w14:textId="77777777" w:rsidR="002834CC" w:rsidRPr="002834CC" w:rsidRDefault="002834CC" w:rsidP="002834CC">
      <w:pPr>
        <w:jc w:val="both"/>
      </w:pPr>
    </w:p>
    <w:p w14:paraId="47A24AE1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6 – «Миграция населения»</w:t>
      </w:r>
    </w:p>
    <w:p w14:paraId="381F8230" w14:textId="02CDB795" w:rsidR="00C819AF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данные, характеризующие население по месту рождения и месту проживания на территории России, продолжительности проживания населения в месте постоянного жительства, прежнему месту жительства населения, по проживанию населения год и более за пределами Российской Федерации. В этом томе приведена также информация о наличии и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виде регистрации населения в помещении, в котором они проживают. Представленные в томе таблицы содержат информацию о населении России в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целом, федеральных округов и субъектов Российской Федерации.</w:t>
      </w:r>
    </w:p>
    <w:p w14:paraId="0EF0F18E" w14:textId="77777777" w:rsidR="002834CC" w:rsidRPr="002834CC" w:rsidRDefault="002834CC" w:rsidP="002834CC">
      <w:pPr>
        <w:jc w:val="both"/>
      </w:pPr>
    </w:p>
    <w:p w14:paraId="2BD24D38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7 – «Источники средств к существованию»</w:t>
      </w:r>
    </w:p>
    <w:p w14:paraId="3DE938C2" w14:textId="0103E51D" w:rsidR="00C819AF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данные, характеризующие население России по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источникам сре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дств к с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>уществованию в сочетании с демографическими характеристиками. Представленные в томе таблицы содержат информацию о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населении России в целом, федеральных округов и субъектов Российской Федерации.</w:t>
      </w:r>
    </w:p>
    <w:p w14:paraId="6D1CE6FC" w14:textId="77777777" w:rsidR="002834CC" w:rsidRPr="002834CC" w:rsidRDefault="002834CC" w:rsidP="002834CC">
      <w:pPr>
        <w:jc w:val="both"/>
      </w:pPr>
    </w:p>
    <w:p w14:paraId="37333508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8 – «Число и состав домохозяйств»</w:t>
      </w:r>
    </w:p>
    <w:p w14:paraId="0533C8A4" w14:textId="0E4F15F9" w:rsidR="00C819AF" w:rsidRPr="002834CC" w:rsidRDefault="00C819AF" w:rsidP="00283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 частных и коллективных домохозяйств, домохозяйств бездомных и численности населения в них. Частные домохозяйства распределяются по составу, размеру и типу домохозяйств, числу детей, числу занятых и иждивенцев, источникам сре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дств к с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>уществованию в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домохозяйствах. В домохозяйствах, состоящих из двух и более человек, выделяются семейные ячейки с информацией о числе и возрасте детей в них. Представленные в томе таблицы содержат информацию о населении России в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целом, федеральных округов и субъектов Российской Федерации.</w:t>
      </w:r>
    </w:p>
    <w:p w14:paraId="713742DF" w14:textId="700D46F1" w:rsidR="00C819AF" w:rsidRPr="002834CC" w:rsidRDefault="00C819AF" w:rsidP="00283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08B9570" w14:textId="77777777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9 – «Рождаемость» </w:t>
      </w:r>
    </w:p>
    <w:p w14:paraId="65F0DDE6" w14:textId="348B3DCC" w:rsidR="00C819AF" w:rsidRPr="002834CC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 и возрасте рожденных женщинами детей в сочетании с социальными, экономическими, демографическими характеристиками женщин. Представленные в томе таблицы с итогами переписи содержат информацию о женщинах частных домохозяйств по России в целом и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субъектам Российской Федерации. </w:t>
      </w:r>
    </w:p>
    <w:p w14:paraId="1C8D383B" w14:textId="77777777" w:rsidR="002834CC" w:rsidRDefault="002834CC" w:rsidP="002834CC">
      <w:pPr>
        <w:pStyle w:val="Pa24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B79CC73" w14:textId="77777777" w:rsidR="007069C8" w:rsidRDefault="007069C8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3AA538A9" w14:textId="77777777" w:rsidR="007069C8" w:rsidRDefault="007069C8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647DB631" w14:textId="08D633C8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lastRenderedPageBreak/>
        <w:t xml:space="preserve">Том 10 – «Рабочая сила» </w:t>
      </w:r>
    </w:p>
    <w:p w14:paraId="45C35662" w14:textId="3514158C" w:rsidR="00C819AF" w:rsidRPr="002834CC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статусе участия в рабочей силе населения в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возрасте 15 лет и более в сочетании с демографическими и образовательными характеристиками населения. Приводится структура потенциальной рабочей силы и причины 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не участия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в составе рабочей силы. Занятое население распределено по демографическим показателям, статусу в занятости, территории нахождения работы и периодичности выезда на работу. Представленные в томе таблицы содержат информацию о населении России в целом, федеральных округов и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субъектов Российской Федерации. </w:t>
      </w:r>
    </w:p>
    <w:p w14:paraId="1A83ED23" w14:textId="77777777" w:rsidR="002834CC" w:rsidRDefault="002834CC" w:rsidP="002834CC">
      <w:pPr>
        <w:pStyle w:val="Pa24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1D5CC9C" w14:textId="70B2E83A" w:rsidR="00C819AF" w:rsidRPr="002834CC" w:rsidRDefault="00C819AF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11 – «Жилищные условия населения» </w:t>
      </w:r>
    </w:p>
    <w:p w14:paraId="321762CD" w14:textId="77777777" w:rsidR="00C819AF" w:rsidRPr="002834CC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сведения о распределении населения и домохозяйств по типам занимаемых жилых помещений, числу комнат, периодам постройки домов, материалу наружных стен, наличию различных видов благоустройства, размеру общей площади занимаемых жилых помещений. Представленные в томе таблицы содержат информацию о населении России в целом, федеральных округов и субъектов Российской Федерации. </w:t>
      </w:r>
    </w:p>
    <w:p w14:paraId="2729D06B" w14:textId="77777777" w:rsidR="002834CC" w:rsidRDefault="002834CC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0CA20146" w14:textId="77777777" w:rsidR="002834CC" w:rsidRDefault="002834CC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46361C21" w14:textId="26744E1B" w:rsidR="00C819AF" w:rsidRPr="002834CC" w:rsidRDefault="00C819AF" w:rsidP="002834CC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Все одиннадцать томов размещаются 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в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свободном интернет-доступе на</w:t>
      </w:r>
      <w:r w:rsidR="00D471C4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официальном сайте Росстата https://rosstat.gov.ru/. </w:t>
      </w:r>
    </w:p>
    <w:p w14:paraId="2BE1E9F8" w14:textId="77777777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8F9DB1F" w14:textId="24581CA4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634F741A" w14:textId="7A25EFF2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C730356" w14:textId="0353CDCB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410A862A" w14:textId="4BC9D38C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8C58DFC" w14:textId="77777777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24E1E6AC" w14:textId="6DE4B424" w:rsidR="00C819AF" w:rsidRPr="002834CC" w:rsidRDefault="00C819AF" w:rsidP="002834CC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08"/>
        <w:gridCol w:w="5387"/>
      </w:tblGrid>
      <w:tr w:rsidR="00194B64" w:rsidRPr="002834CC" w14:paraId="7E254746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5B0F4F" w14:textId="23029F14" w:rsidR="00194B64" w:rsidRPr="002834CC" w:rsidRDefault="00194B64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proofErr w:type="gramStart"/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6ED5E" w14:textId="5677D51E" w:rsidR="00194B64" w:rsidRPr="002834CC" w:rsidRDefault="00194B64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ACF44E" w14:textId="4EA32DE1" w:rsidR="00194B64" w:rsidRPr="002834CC" w:rsidRDefault="00194B64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город; </w:t>
            </w:r>
          </w:p>
        </w:tc>
      </w:tr>
      <w:tr w:rsidR="00194B64" w:rsidRPr="002834CC" w14:paraId="41263AE3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2C3AB1" w14:textId="2D4FC86C" w:rsidR="00194B64" w:rsidRPr="002834CC" w:rsidRDefault="00194B64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498A6" w14:textId="7507858A" w:rsidR="00194B64" w:rsidRPr="002834CC" w:rsidRDefault="00194B64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F11E5A" w14:textId="1EE6B326" w:rsidR="00194B64" w:rsidRPr="002834CC" w:rsidRDefault="00194B64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расчет не производится</w:t>
            </w:r>
          </w:p>
        </w:tc>
      </w:tr>
      <w:tr w:rsidR="00194B64" w:rsidRPr="002834CC" w14:paraId="4EB7374C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ADE849" w14:textId="523E0797" w:rsidR="00194B64" w:rsidRPr="002834CC" w:rsidRDefault="00194B64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51FD9" w14:textId="518F74A3" w:rsidR="00194B64" w:rsidRPr="002834CC" w:rsidRDefault="00194B64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938DE5" w14:textId="00AB8FC4" w:rsidR="00194B64" w:rsidRPr="002834CC" w:rsidRDefault="00194B64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явление отсутствует</w:t>
            </w:r>
          </w:p>
        </w:tc>
      </w:tr>
      <w:tr w:rsidR="00194B64" w:rsidRPr="002834CC" w14:paraId="7D35F1EF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D145C9" w14:textId="1AA93BA2" w:rsidR="00194B64" w:rsidRPr="002834CC" w:rsidRDefault="00194B64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F0E6E" w14:textId="5BD5AD5F" w:rsidR="00194B64" w:rsidRPr="002834CC" w:rsidRDefault="00194B64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8966B4" w14:textId="6AEEFC1E" w:rsidR="00194B64" w:rsidRPr="002834CC" w:rsidRDefault="00194B64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C26D3E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значение показателя </w:t>
            </w: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менее 0,05</w:t>
            </w:r>
          </w:p>
        </w:tc>
      </w:tr>
    </w:tbl>
    <w:p w14:paraId="205A37DC" w14:textId="1CF2D72C" w:rsidR="001909AD" w:rsidRDefault="001909A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909AD" w:rsidSect="00D77BF0">
      <w:headerReference w:type="default" r:id="rId7"/>
      <w:headerReference w:type="first" r:id="rId8"/>
      <w:pgSz w:w="11630" w:h="1645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8B2A7" w14:textId="77777777" w:rsidR="008A7484" w:rsidRDefault="008A7484" w:rsidP="00D77BF0">
      <w:pPr>
        <w:spacing w:after="0" w:line="240" w:lineRule="auto"/>
      </w:pPr>
      <w:r>
        <w:separator/>
      </w:r>
    </w:p>
  </w:endnote>
  <w:endnote w:type="continuationSeparator" w:id="0">
    <w:p w14:paraId="0CE8B33E" w14:textId="77777777" w:rsidR="008A7484" w:rsidRDefault="008A7484" w:rsidP="00D7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49599" w14:textId="77777777" w:rsidR="008A7484" w:rsidRDefault="008A7484" w:rsidP="00D77BF0">
      <w:pPr>
        <w:spacing w:after="0" w:line="240" w:lineRule="auto"/>
      </w:pPr>
      <w:r>
        <w:separator/>
      </w:r>
    </w:p>
  </w:footnote>
  <w:footnote w:type="continuationSeparator" w:id="0">
    <w:p w14:paraId="7235BDED" w14:textId="77777777" w:rsidR="008A7484" w:rsidRDefault="008A7484" w:rsidP="00D7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612095"/>
      <w:docPartObj>
        <w:docPartGallery w:val="Page Numbers (Top of Page)"/>
        <w:docPartUnique/>
      </w:docPartObj>
    </w:sdtPr>
    <w:sdtEndPr/>
    <w:sdtContent>
      <w:p w14:paraId="043EF103" w14:textId="7DEB7E98" w:rsidR="00D77BF0" w:rsidRDefault="00D77BF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6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CDD9B" w14:textId="77777777" w:rsidR="00D77BF0" w:rsidRDefault="00D77BF0" w:rsidP="00D77BF0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E"/>
    <w:rsid w:val="0002126E"/>
    <w:rsid w:val="00060B5C"/>
    <w:rsid w:val="00171F44"/>
    <w:rsid w:val="001909AD"/>
    <w:rsid w:val="00194B64"/>
    <w:rsid w:val="001A311A"/>
    <w:rsid w:val="001D4B36"/>
    <w:rsid w:val="00200918"/>
    <w:rsid w:val="00256047"/>
    <w:rsid w:val="002834CC"/>
    <w:rsid w:val="002A08D0"/>
    <w:rsid w:val="00356709"/>
    <w:rsid w:val="003E572D"/>
    <w:rsid w:val="0046108B"/>
    <w:rsid w:val="00467365"/>
    <w:rsid w:val="006A06E2"/>
    <w:rsid w:val="006E32C3"/>
    <w:rsid w:val="007069C8"/>
    <w:rsid w:val="007950C1"/>
    <w:rsid w:val="008A7484"/>
    <w:rsid w:val="008F1051"/>
    <w:rsid w:val="009C3AD2"/>
    <w:rsid w:val="00A562A8"/>
    <w:rsid w:val="00A97E37"/>
    <w:rsid w:val="00B659DF"/>
    <w:rsid w:val="00BC55F8"/>
    <w:rsid w:val="00C672EA"/>
    <w:rsid w:val="00C819AF"/>
    <w:rsid w:val="00D471C4"/>
    <w:rsid w:val="00D726BA"/>
    <w:rsid w:val="00D77BF0"/>
    <w:rsid w:val="00EA56EE"/>
    <w:rsid w:val="00F167FC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7BF0"/>
  </w:style>
  <w:style w:type="paragraph" w:styleId="af1">
    <w:name w:val="footer"/>
    <w:basedOn w:val="a"/>
    <w:link w:val="af2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7BF0"/>
  </w:style>
  <w:style w:type="paragraph" w:styleId="af1">
    <w:name w:val="footer"/>
    <w:basedOn w:val="a"/>
    <w:link w:val="af2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Кучумов</dc:creator>
  <cp:lastModifiedBy>Воронин Владимир Михайлович</cp:lastModifiedBy>
  <cp:revision>3</cp:revision>
  <dcterms:created xsi:type="dcterms:W3CDTF">2022-12-26T14:21:00Z</dcterms:created>
  <dcterms:modified xsi:type="dcterms:W3CDTF">2022-12-30T07:17:00Z</dcterms:modified>
</cp:coreProperties>
</file>