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3921" w14:textId="1F8409EA" w:rsid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  <w:r w:rsidRPr="00EA56EE"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  <w:t>ПРЕДИСЛОВИЕ</w:t>
      </w:r>
    </w:p>
    <w:p w14:paraId="70F87DB2" w14:textId="77777777" w:rsidR="002834CC" w:rsidRPr="00EA56EE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</w:p>
    <w:p w14:paraId="722EB023" w14:textId="3F829DFA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EA56EE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="00D471C4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="00D471C4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1608</w:t>
      </w:r>
      <w:r w:rsid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«Об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(с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изменениями),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Основными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="006E32C3">
        <w:rPr>
          <w:rFonts w:ascii="Times New Roman" w:hAnsi="Times New Roman" w:cs="Times New Roman"/>
          <w:color w:val="231F20"/>
          <w:spacing w:val="14"/>
          <w:sz w:val="26"/>
          <w:szCs w:val="26"/>
        </w:rPr>
        <w:br/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="006E32C3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2648-р.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сроки, установленные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="00D471C4">
        <w:rPr>
          <w:rFonts w:ascii="Times New Roman" w:hAnsi="Times New Roman" w:cs="Times New Roman"/>
          <w:color w:val="231F20"/>
          <w:spacing w:val="42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июля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1126</w:t>
      </w:r>
      <w:r w:rsid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59C57DD5" w14:textId="77777777" w:rsidR="002834CC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04282628" w14:textId="5B800826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1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«Численность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размещение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населения»</w:t>
      </w:r>
    </w:p>
    <w:p w14:paraId="134C6E54" w14:textId="03186FB0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 населенным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пунктам,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образованиям,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поселениям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2055C1">
        <w:rPr>
          <w:rFonts w:ascii="Times New Roman" w:hAnsi="Times New Roman" w:cs="Times New Roman"/>
          <w:color w:val="231F20"/>
          <w:sz w:val="26"/>
          <w:szCs w:val="26"/>
        </w:rPr>
        <w:t>еспублик</w:t>
      </w:r>
      <w:r w:rsidR="007E370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="002055C1">
        <w:rPr>
          <w:rFonts w:ascii="Times New Roman" w:hAnsi="Times New Roman" w:cs="Times New Roman"/>
          <w:color w:val="231F20"/>
          <w:sz w:val="26"/>
          <w:szCs w:val="26"/>
        </w:rPr>
        <w:t xml:space="preserve"> Калмыкии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 xml:space="preserve"> в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Приводятся</w:t>
      </w:r>
      <w:r w:rsidRPr="00EA56EE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районов,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поселений,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проживающего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населенных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пунктах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различных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размеров.</w:t>
      </w:r>
    </w:p>
    <w:p w14:paraId="2EC06B8E" w14:textId="77777777" w:rsidR="002834CC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59FAEA3F" w14:textId="20A18597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2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«Возрастно-половой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состав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состояние</w:t>
      </w: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i/>
          <w:iCs/>
          <w:color w:val="231F20"/>
          <w:spacing w:val="-10"/>
          <w:w w:val="10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браке»</w:t>
      </w:r>
    </w:p>
    <w:p w14:paraId="09F95BDD" w14:textId="6908496B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 по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возрасту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отдельным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возрастным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группам,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D471C4">
        <w:rPr>
          <w:rFonts w:ascii="Times New Roman" w:hAnsi="Times New Roman" w:cs="Times New Roman"/>
          <w:color w:val="231F20"/>
          <w:spacing w:val="6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демографической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нагрузке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трудоспособного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возраста,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D471C4">
        <w:rPr>
          <w:rFonts w:ascii="Times New Roman" w:hAnsi="Times New Roman" w:cs="Times New Roman"/>
          <w:color w:val="231F20"/>
          <w:spacing w:val="32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характеристике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состоянию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браке.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="002055C1">
        <w:rPr>
          <w:rFonts w:ascii="Times New Roman" w:hAnsi="Times New Roman" w:cs="Times New Roman"/>
          <w:color w:val="231F20"/>
          <w:sz w:val="26"/>
          <w:szCs w:val="26"/>
        </w:rPr>
        <w:t>Республики Калмыкия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14:paraId="3E45F31E" w14:textId="77777777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8CAAD4" w14:textId="77777777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3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«Образование»</w:t>
      </w:r>
    </w:p>
    <w:p w14:paraId="31E4B916" w14:textId="2F1C5D2A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данные,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характеризующие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уровень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сочетании с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местом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жительства,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занятостью,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="00D471C4">
        <w:rPr>
          <w:rFonts w:ascii="Times New Roman" w:hAnsi="Times New Roman" w:cs="Times New Roman"/>
          <w:color w:val="231F20"/>
          <w:spacing w:val="38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информация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освоении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программ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наличии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ученых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степеней.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D471C4">
        <w:rPr>
          <w:rFonts w:ascii="Times New Roman" w:hAnsi="Times New Roman" w:cs="Times New Roman"/>
          <w:color w:val="231F20"/>
          <w:spacing w:val="36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="002055C1">
        <w:rPr>
          <w:rFonts w:ascii="Times New Roman" w:hAnsi="Times New Roman" w:cs="Times New Roman"/>
          <w:color w:val="231F20"/>
          <w:sz w:val="26"/>
          <w:szCs w:val="26"/>
        </w:rPr>
        <w:t>Республики Калмыкия</w:t>
      </w:r>
      <w:r w:rsidR="002055C1" w:rsidRPr="00EA56EE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14:paraId="1E9D42AC" w14:textId="0A3DF02E" w:rsidR="00A97E37" w:rsidRPr="002834CC" w:rsidRDefault="00A97E37" w:rsidP="0028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024910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4 – «Гражданство»</w:t>
      </w:r>
    </w:p>
    <w:p w14:paraId="46B9CA92" w14:textId="27887512" w:rsidR="00C819AF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гражданстве населения </w:t>
      </w:r>
      <w:r w:rsidR="002055C1">
        <w:rPr>
          <w:rFonts w:ascii="Times New Roman" w:hAnsi="Times New Roman" w:cs="Times New Roman"/>
          <w:color w:val="231F20"/>
          <w:sz w:val="26"/>
          <w:szCs w:val="26"/>
        </w:rPr>
        <w:t xml:space="preserve">Республики Калмыкия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сочетании с демографическими характеристиками.</w:t>
      </w:r>
    </w:p>
    <w:p w14:paraId="51D0785D" w14:textId="77777777" w:rsidR="002834CC" w:rsidRPr="002834CC" w:rsidRDefault="002834CC" w:rsidP="002834CC">
      <w:pPr>
        <w:jc w:val="both"/>
      </w:pPr>
    </w:p>
    <w:p w14:paraId="609D221F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5 – «Национальный состав и владение языками»</w:t>
      </w:r>
    </w:p>
    <w:p w14:paraId="0732EC5C" w14:textId="4C0EE94F" w:rsidR="00C819AF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национальном составе населения, о родных языках, о владении языками и использовании их в повседневной жизни, о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численности населения отдельных этнических групп и подгрупп, их размещении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на территории </w:t>
      </w:r>
      <w:r w:rsidR="0045224E">
        <w:rPr>
          <w:rFonts w:ascii="Times New Roman" w:hAnsi="Times New Roman" w:cs="Times New Roman"/>
          <w:color w:val="231F20"/>
          <w:sz w:val="26"/>
          <w:szCs w:val="26"/>
        </w:rPr>
        <w:t>Республики Калмыкия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в сочетании с демографическими, социальными и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экономическими характеристиками. В томе также представлены социально-экономические и демографические характеристики коренных малочисленных народов </w:t>
      </w:r>
      <w:r w:rsidR="0045224E">
        <w:rPr>
          <w:rFonts w:ascii="Times New Roman" w:hAnsi="Times New Roman" w:cs="Times New Roman"/>
          <w:color w:val="231F20"/>
          <w:sz w:val="26"/>
          <w:szCs w:val="26"/>
        </w:rPr>
        <w:t>Республики Калмыкия</w:t>
      </w:r>
      <w:r w:rsidR="0045224E" w:rsidRPr="00EA56EE">
        <w:rPr>
          <w:rFonts w:ascii="Times New Roman" w:hAnsi="Times New Roman" w:cs="Times New Roman"/>
          <w:color w:val="231F20"/>
          <w:sz w:val="26"/>
          <w:szCs w:val="26"/>
        </w:rPr>
        <w:t>.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</w:p>
    <w:p w14:paraId="1D85AB92" w14:textId="77777777" w:rsidR="002834CC" w:rsidRPr="002834CC" w:rsidRDefault="002834CC" w:rsidP="002834CC">
      <w:pPr>
        <w:jc w:val="both"/>
      </w:pPr>
    </w:p>
    <w:p w14:paraId="47A24AE1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6 – «Миграция населения»</w:t>
      </w:r>
    </w:p>
    <w:p w14:paraId="381F8230" w14:textId="4987603E" w:rsidR="00C819AF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данные, характеризующие население по месту рождения и месту проживания на территории </w:t>
      </w:r>
      <w:r w:rsidR="0045224E">
        <w:rPr>
          <w:rFonts w:ascii="Times New Roman" w:hAnsi="Times New Roman" w:cs="Times New Roman"/>
          <w:color w:val="231F20"/>
          <w:sz w:val="26"/>
          <w:szCs w:val="26"/>
        </w:rPr>
        <w:t>Республики Калмыкия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, продолжительности проживания населения в месте постоянного жительства, прежнему месту жительства населения, по проживанию населения год и более за пределами Российской Федерации. В этом томе приведена также информация о наличии и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виде регистрации населения в помещении, в котором они проживают. </w:t>
      </w:r>
    </w:p>
    <w:p w14:paraId="0EF0F18E" w14:textId="77777777" w:rsidR="002834CC" w:rsidRPr="002834CC" w:rsidRDefault="002834CC" w:rsidP="002834CC">
      <w:pPr>
        <w:jc w:val="both"/>
      </w:pPr>
    </w:p>
    <w:p w14:paraId="2BD24D38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7 – «Источники средств к существованию»</w:t>
      </w:r>
    </w:p>
    <w:p w14:paraId="3DE938C2" w14:textId="5E164734" w:rsidR="00C819AF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данные, характеризующие население</w:t>
      </w:r>
      <w:r w:rsidR="0045224E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="0045224E">
        <w:rPr>
          <w:rFonts w:ascii="Times New Roman" w:hAnsi="Times New Roman" w:cs="Times New Roman"/>
          <w:color w:val="231F20"/>
          <w:sz w:val="26"/>
          <w:szCs w:val="26"/>
        </w:rPr>
        <w:t>Республики Калмыкия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по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источникам сре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дств к с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>уществованию в сочетании с демографическими характеристиками.</w:t>
      </w:r>
    </w:p>
    <w:p w14:paraId="6D1CE6FC" w14:textId="77777777" w:rsidR="002834CC" w:rsidRPr="002834CC" w:rsidRDefault="002834CC" w:rsidP="002834CC">
      <w:pPr>
        <w:jc w:val="both"/>
      </w:pPr>
    </w:p>
    <w:p w14:paraId="37333508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8 – «Число и состав домохозяйств»</w:t>
      </w:r>
    </w:p>
    <w:p w14:paraId="0533C8A4" w14:textId="17B67EB8" w:rsidR="00C819AF" w:rsidRPr="002834CC" w:rsidRDefault="00C819AF" w:rsidP="00283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частных и коллективных домохозяйств, домохозяйств бездомных и численности населения в них. Частные домохозяйства распределяются по составу, размеру и типу домохозяйств, числу детей, числу занятых и иждивенцев, источникам средств к существованию в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домохозяйствах. В домохозяйствах, состоящих из двух и более человек, выделяются семейные ячейки с информацией о числе и возрасте детей в них. </w:t>
      </w:r>
    </w:p>
    <w:p w14:paraId="713742DF" w14:textId="700D46F1" w:rsidR="00C819AF" w:rsidRPr="002834CC" w:rsidRDefault="00C819AF" w:rsidP="00283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08B9570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9 – «Рождаемость» </w:t>
      </w:r>
    </w:p>
    <w:p w14:paraId="65F0DDE6" w14:textId="6246336A" w:rsidR="00C819AF" w:rsidRPr="002834CC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числе и возрасте рожденных женщинами детей в сочетании с социальными, экономическими, демографическими характеристиками женщин. Представленные в томе таблицы с итогами переписи содержат информацию о женщинах частных домохозяйств по </w:t>
      </w:r>
      <w:r w:rsidR="0045224E">
        <w:rPr>
          <w:rFonts w:ascii="Times New Roman" w:hAnsi="Times New Roman" w:cs="Times New Roman"/>
          <w:color w:val="231F20"/>
          <w:sz w:val="26"/>
          <w:szCs w:val="26"/>
        </w:rPr>
        <w:t>Республике Калмыкия</w:t>
      </w:r>
      <w:r w:rsidR="0045224E" w:rsidRPr="00EA56EE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14:paraId="1C8D383B" w14:textId="77777777" w:rsidR="002834CC" w:rsidRDefault="002834CC" w:rsidP="002834CC">
      <w:pPr>
        <w:pStyle w:val="Pa24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B79CC73" w14:textId="77777777" w:rsidR="007069C8" w:rsidRDefault="007069C8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3AA538A9" w14:textId="77777777" w:rsidR="007069C8" w:rsidRDefault="007069C8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647DB631" w14:textId="08D633C8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10 – «Рабочая сила» </w:t>
      </w:r>
    </w:p>
    <w:p w14:paraId="45C35662" w14:textId="648FED14" w:rsidR="00C819AF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статусе участия в рабочей силе населения в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возрасте 15 лет и более в сочетании с демографическими и образовательными характеристиками населения. Приводится структура потенциальной рабочей силы и причины неучастия в составе рабочей силы. Занятое население распределено по демографическим показателям, статусу в занятости, территории нахождения работы и периодичности выезда на работу. </w:t>
      </w:r>
    </w:p>
    <w:p w14:paraId="28BB6100" w14:textId="37850143" w:rsidR="0045224E" w:rsidRDefault="0045224E" w:rsidP="0045224E"/>
    <w:p w14:paraId="048E2D07" w14:textId="77777777" w:rsidR="0045224E" w:rsidRPr="0045224E" w:rsidRDefault="0045224E" w:rsidP="0045224E"/>
    <w:p w14:paraId="1A83ED23" w14:textId="77777777" w:rsidR="002834CC" w:rsidRDefault="002834CC" w:rsidP="002834CC">
      <w:pPr>
        <w:pStyle w:val="Pa24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1D5CC9C" w14:textId="70B2E83A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11 – «Жилищные условия населения» </w:t>
      </w:r>
    </w:p>
    <w:p w14:paraId="321762CD" w14:textId="5D62162C" w:rsidR="00C819AF" w:rsidRPr="002834CC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сведения о распределении населения и домохозяйств по типам занимаемых жилых помещений, числу комнат, периодам постройки домов, материалу наружных стен, наличию различных видов благоустройства, размеру общей площади занимаемых жилых помещений. </w:t>
      </w:r>
    </w:p>
    <w:p w14:paraId="2729D06B" w14:textId="77777777" w:rsidR="002834CC" w:rsidRDefault="002834CC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0CA20146" w14:textId="77777777" w:rsidR="002834CC" w:rsidRDefault="002834CC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46361C21" w14:textId="40F94CF8" w:rsidR="00C819AF" w:rsidRPr="00B42BF4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Все одиннадцать томов размещаются 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в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свободном интернет-доступе на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официальном сайте </w:t>
      </w:r>
      <w:proofErr w:type="spellStart"/>
      <w:r w:rsidR="00B42BF4">
        <w:rPr>
          <w:rFonts w:ascii="Times New Roman" w:hAnsi="Times New Roman" w:cs="Times New Roman"/>
          <w:color w:val="221E1F"/>
          <w:sz w:val="26"/>
          <w:szCs w:val="26"/>
        </w:rPr>
        <w:t>Астраханьстата</w:t>
      </w:r>
      <w:proofErr w:type="spellEnd"/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https://</w:t>
      </w:r>
      <w:proofErr w:type="spellStart"/>
      <w:r w:rsidR="00B42BF4">
        <w:rPr>
          <w:rFonts w:ascii="Times New Roman" w:hAnsi="Times New Roman" w:cs="Times New Roman"/>
          <w:color w:val="221E1F"/>
          <w:sz w:val="26"/>
          <w:szCs w:val="26"/>
          <w:lang w:val="en-US"/>
        </w:rPr>
        <w:t>astras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tat.g</w:t>
      </w:r>
      <w:r w:rsidR="00B42BF4">
        <w:rPr>
          <w:rFonts w:ascii="Times New Roman" w:hAnsi="Times New Roman" w:cs="Times New Roman"/>
          <w:color w:val="221E1F"/>
          <w:sz w:val="26"/>
          <w:szCs w:val="26"/>
          <w:lang w:val="en-US"/>
        </w:rPr>
        <w:t>ks</w:t>
      </w:r>
      <w:proofErr w:type="spellEnd"/>
      <w:r w:rsidRPr="002834CC">
        <w:rPr>
          <w:rFonts w:ascii="Times New Roman" w:hAnsi="Times New Roman" w:cs="Times New Roman"/>
          <w:color w:val="221E1F"/>
          <w:sz w:val="26"/>
          <w:szCs w:val="26"/>
        </w:rPr>
        <w:t>.</w:t>
      </w:r>
      <w:proofErr w:type="spell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ru</w:t>
      </w:r>
      <w:proofErr w:type="spellEnd"/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/. </w:t>
      </w:r>
    </w:p>
    <w:p w14:paraId="29B8A3C5" w14:textId="77777777" w:rsidR="00B42BF4" w:rsidRPr="00B42BF4" w:rsidRDefault="00B42BF4" w:rsidP="00B42BF4"/>
    <w:p w14:paraId="2BE1E9F8" w14:textId="77777777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bookmarkStart w:id="0" w:name="_GoBack"/>
      <w:bookmarkEnd w:id="0"/>
    </w:p>
    <w:p w14:paraId="78F9DB1F" w14:textId="24581CA4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34F741A" w14:textId="7A25EFF2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C730356" w14:textId="0353CDCB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410A862A" w14:textId="4BC9D38C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8C58DFC" w14:textId="77777777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4E1E6AC" w14:textId="6DE4B424" w:rsidR="00C819AF" w:rsidRPr="002834CC" w:rsidRDefault="00C819AF" w:rsidP="002834CC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08"/>
        <w:gridCol w:w="5387"/>
      </w:tblGrid>
      <w:tr w:rsidR="00C819AF" w:rsidRPr="002834CC" w14:paraId="7E254746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5B0F4F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6ED5E" w14:textId="79DFC0BC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ACF44E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город; </w:t>
            </w:r>
          </w:p>
        </w:tc>
      </w:tr>
      <w:tr w:rsidR="00C819AF" w:rsidRPr="002834CC" w14:paraId="41263AE3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2C3AB1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пгт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498A6" w14:textId="17F1EFA6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F11E5A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поселок городского типа; </w:t>
            </w:r>
          </w:p>
        </w:tc>
      </w:tr>
      <w:tr w:rsidR="00C819AF" w:rsidRPr="002834CC" w14:paraId="4EB7374C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ADE849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proofErr w:type="spellStart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рп</w:t>
            </w:r>
            <w:proofErr w:type="spellEnd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51FD9" w14:textId="378376D1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938DE5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рабочий поселок; </w:t>
            </w:r>
          </w:p>
        </w:tc>
      </w:tr>
      <w:tr w:rsidR="00C819AF" w:rsidRPr="002834CC" w14:paraId="7D35F1EF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D145C9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proofErr w:type="spellStart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дп</w:t>
            </w:r>
            <w:proofErr w:type="spellEnd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F0E6E" w14:textId="4971FCA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8966B4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дачный поселок; </w:t>
            </w:r>
          </w:p>
        </w:tc>
      </w:tr>
      <w:tr w:rsidR="00C819AF" w:rsidRPr="002834CC" w14:paraId="0831F20C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8F6945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proofErr w:type="spellStart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C630E4" w14:textId="34F66C82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4E76D8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курортный поселок; </w:t>
            </w:r>
          </w:p>
        </w:tc>
      </w:tr>
      <w:tr w:rsidR="00C819AF" w:rsidRPr="002834CC" w14:paraId="497DFF8C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1F64F6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130D1" w14:textId="6CAD88E5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6AC113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явление отсутствует</w:t>
            </w:r>
          </w:p>
        </w:tc>
      </w:tr>
    </w:tbl>
    <w:p w14:paraId="205A37DC" w14:textId="1CF2D72C" w:rsidR="001909AD" w:rsidRDefault="001909AD">
      <w:pPr>
        <w:rPr>
          <w:rFonts w:ascii="Times New Roman" w:hAnsi="Times New Roman" w:cs="Times New Roman"/>
          <w:sz w:val="26"/>
          <w:szCs w:val="26"/>
        </w:rPr>
      </w:pPr>
    </w:p>
    <w:sectPr w:rsidR="001909AD" w:rsidSect="00D77BF0">
      <w:headerReference w:type="default" r:id="rId7"/>
      <w:headerReference w:type="first" r:id="rId8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8A0D9" w14:textId="77777777" w:rsidR="00D77BF0" w:rsidRDefault="00D77BF0" w:rsidP="00D77BF0">
      <w:pPr>
        <w:spacing w:after="0" w:line="240" w:lineRule="auto"/>
      </w:pPr>
      <w:r>
        <w:separator/>
      </w:r>
    </w:p>
  </w:endnote>
  <w:endnote w:type="continuationSeparator" w:id="0">
    <w:p w14:paraId="7D19B003" w14:textId="77777777" w:rsidR="00D77BF0" w:rsidRDefault="00D77BF0" w:rsidP="00D7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A5FDB" w14:textId="77777777" w:rsidR="00D77BF0" w:rsidRDefault="00D77BF0" w:rsidP="00D77BF0">
      <w:pPr>
        <w:spacing w:after="0" w:line="240" w:lineRule="auto"/>
      </w:pPr>
      <w:r>
        <w:separator/>
      </w:r>
    </w:p>
  </w:footnote>
  <w:footnote w:type="continuationSeparator" w:id="0">
    <w:p w14:paraId="57CE911F" w14:textId="77777777" w:rsidR="00D77BF0" w:rsidRDefault="00D77BF0" w:rsidP="00D7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12095"/>
      <w:docPartObj>
        <w:docPartGallery w:val="Page Numbers (Top of Page)"/>
        <w:docPartUnique/>
      </w:docPartObj>
    </w:sdtPr>
    <w:sdtEndPr/>
    <w:sdtContent>
      <w:p w14:paraId="043EF103" w14:textId="7DEB7E98" w:rsidR="00D77BF0" w:rsidRDefault="00D77B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BF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CDD9B" w14:textId="77777777" w:rsidR="00D77BF0" w:rsidRDefault="00D77BF0" w:rsidP="00D77BF0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E"/>
    <w:rsid w:val="0002126E"/>
    <w:rsid w:val="00060B5C"/>
    <w:rsid w:val="00171F44"/>
    <w:rsid w:val="001909AD"/>
    <w:rsid w:val="001D4B36"/>
    <w:rsid w:val="00200918"/>
    <w:rsid w:val="002055C1"/>
    <w:rsid w:val="00205AFD"/>
    <w:rsid w:val="00256047"/>
    <w:rsid w:val="002834CC"/>
    <w:rsid w:val="002A08D0"/>
    <w:rsid w:val="00356709"/>
    <w:rsid w:val="003E572D"/>
    <w:rsid w:val="0045224E"/>
    <w:rsid w:val="0046108B"/>
    <w:rsid w:val="00467365"/>
    <w:rsid w:val="006A06E2"/>
    <w:rsid w:val="006E32C3"/>
    <w:rsid w:val="007069C8"/>
    <w:rsid w:val="007950C1"/>
    <w:rsid w:val="007E3702"/>
    <w:rsid w:val="008F1051"/>
    <w:rsid w:val="009C3AD2"/>
    <w:rsid w:val="00A562A8"/>
    <w:rsid w:val="00A97E37"/>
    <w:rsid w:val="00B42BF4"/>
    <w:rsid w:val="00B659DF"/>
    <w:rsid w:val="00BC55F8"/>
    <w:rsid w:val="00C819AF"/>
    <w:rsid w:val="00D471C4"/>
    <w:rsid w:val="00D726BA"/>
    <w:rsid w:val="00D77BF0"/>
    <w:rsid w:val="00DD7602"/>
    <w:rsid w:val="00EA56EE"/>
    <w:rsid w:val="00F167FC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7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7BF0"/>
  </w:style>
  <w:style w:type="paragraph" w:styleId="af1">
    <w:name w:val="footer"/>
    <w:basedOn w:val="a"/>
    <w:link w:val="af2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7BF0"/>
  </w:style>
  <w:style w:type="paragraph" w:styleId="af1">
    <w:name w:val="footer"/>
    <w:basedOn w:val="a"/>
    <w:link w:val="af2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Бельтрикова Елена Юрьевна</dc:creator>
  <cp:keywords/>
  <dc:description/>
  <cp:lastModifiedBy>P08_ChurumovaDM</cp:lastModifiedBy>
  <cp:revision>6</cp:revision>
  <dcterms:created xsi:type="dcterms:W3CDTF">2022-09-29T13:32:00Z</dcterms:created>
  <dcterms:modified xsi:type="dcterms:W3CDTF">2022-10-05T10:05:00Z</dcterms:modified>
</cp:coreProperties>
</file>