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FE69" w14:textId="267EB6ED" w:rsidR="00037EA2" w:rsidRPr="00CC5951" w:rsidRDefault="00037EA2" w:rsidP="00037EA2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850FF2D" w14:textId="29393C9E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CC5951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 1608 «Об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(с изменениями), Основными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CC5951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 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 №</w:t>
      </w:r>
      <w:r w:rsidRPr="00CC5951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             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 2648-р.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 сроки, установленные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 июля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1126 «О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 2020</w:t>
      </w:r>
      <w:r w:rsidRPr="00CC595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65A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1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«Численность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размещение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населения»</w:t>
      </w:r>
    </w:p>
    <w:p w14:paraId="63ADD7E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Астраханской области. </w:t>
      </w:r>
    </w:p>
    <w:p w14:paraId="1F41C1F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приводятся по административно-территориальному устройству и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образованиям. </w:t>
      </w: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административно – территориальному устройству представлены сведения о числе районов, городов, поселков городского типа, сельских населенных пунктов; приведены данные о численности населения районов, городских населенных пунктов, сельских населенных пунктов, а также группировка районов, городских и сельских населенных пунктов по числу жителей.</w:t>
      </w:r>
    </w:p>
    <w:p w14:paraId="38BC02C4" w14:textId="77777777" w:rsidR="00037EA2" w:rsidRPr="00CC5951" w:rsidRDefault="00037EA2" w:rsidP="00037EA2">
      <w:pPr>
        <w:spacing w:after="0" w:line="267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муниципальным образованиям представлены сведения о числе городских округов, муниципальных районов, городских и сельских поселений; приведены данные о численности населения по городским округам, муниципальным районам, городским и сельским поселениям. Приводятся группировки городских округов, муниципальных районов, городских и сельских поселений по числу жителей.</w:t>
      </w:r>
    </w:p>
    <w:p w14:paraId="1FC2FCB6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2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«Возрастно-половой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состав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состояние 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  <w:t>браке»</w:t>
      </w:r>
    </w:p>
    <w:p w14:paraId="16658DFD" w14:textId="18501D98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женщин по однолетним возрастам (по Астраханской области в целом), пятилетним и другим возрастным</w:t>
      </w:r>
      <w:r w:rsidRPr="00CC5951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CC5951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нагрузке; о распределении городского и сельского населения, мужчин и женщин в возрасте 16 лет и более по возрастным группам и состоянию в браке.</w:t>
      </w:r>
    </w:p>
    <w:p w14:paraId="5104DB68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3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«Образование»</w:t>
      </w:r>
    </w:p>
    <w:p w14:paraId="4261FC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о распределении всего населения в возрасте 15 лет и боле, населения частных домохозяйств, занятого в экономике, городского и сельского населения, мужчин и женщин по возрастным группам и уровню образования; приводятся сведения о детях 0-9 лет, посещающих дошкольные образовательные и общеобразовательные учреждения; содержатся данные о численности населения, имеющие ученые степени, по возрастным группам и полу.</w:t>
      </w:r>
    </w:p>
    <w:p w14:paraId="4432AE4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4 – «Гражданство»</w:t>
      </w:r>
    </w:p>
    <w:p w14:paraId="6754C11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гражданстве населения России в Астраханской области в сочетании с демографическими характеристиками.</w:t>
      </w:r>
    </w:p>
    <w:p w14:paraId="552C8779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3981883F" w14:textId="715E9950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3954A564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национальном составе населения, о родных языках, о владении языками и использовании их в повседневной жизни, о численности населения отдельных этнических групп и подгрупп, их размещении на территории Астраханской области в сочетании с демографическими, социальными и экономическими характеристиками. </w:t>
      </w:r>
    </w:p>
    <w:p w14:paraId="7F59B242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6 – «Миграция населения»</w:t>
      </w:r>
    </w:p>
    <w:p w14:paraId="2F189260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Астраханской области,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Астраханской области. В этом томе приведена также информация о наличии и виде регистрации населения в помещении, в котором они проживают. </w:t>
      </w:r>
    </w:p>
    <w:p w14:paraId="5CB4453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0AD02E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численности городского и сельского населения, мужчин и женщин по возрастным группам и источникам средств к существованию, основному источнику средств к существованию, а также по числу указанных населением источников.</w:t>
      </w:r>
    </w:p>
    <w:p w14:paraId="6F9DE7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17D0511F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размере частных и коллективных домохозяйств, домохозяйств, состоящих из двух и более человек, по типам, размеру и числу детей моложе 18 лет, числу занятых членов домохозяйств и числу иждивенцев, числу национально однородных и национально смешанных домохозяйств. Приводится характеристика частных домохозяйств, состоящих из одного человека, по основному источнику средств к существованию и возрастным группам. Представлено распределение населения частных домохозяйств и коллективных домохозяйств, домохозяйств бездомных по полу и возрастным группам. В томе содержатся данные о распределении семейных ячеек, входящих в состав частных домохозяйств, по размеру и числу детей моложе 18 лет.</w:t>
      </w:r>
    </w:p>
    <w:p w14:paraId="7394964A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Том 9 – «Рождаемость» </w:t>
      </w:r>
    </w:p>
    <w:p w14:paraId="26569D08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численности женщин в возрасте 15 лет и более, проживающих в городских и сельских населенных пунктах, их распределении по возрастным группам и числу рожденных детей; приводится распределение женщин, состоящих в браке, по возрасту, в котором родили первого ребенка, женщин, занятых в экономике, а также женщин отдельных национальностей по возрастным группам, числу рожденных детей и возрасту, в котором родили первого ребенка. Приводятся сведения о среднем числе рожденных детей женщинами, /имеющими различный уровень образования. </w:t>
      </w:r>
    </w:p>
    <w:p w14:paraId="63D2F10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10 – «Рабочая сила»</w:t>
      </w:r>
    </w:p>
    <w:p w14:paraId="2E75916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 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</w:t>
      </w:r>
    </w:p>
    <w:p w14:paraId="23B6839F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6F58F469" w14:textId="0AF2E7E2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11 – «Жилищные условия населения»</w:t>
      </w:r>
    </w:p>
    <w:p w14:paraId="42A5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сведения о распределении городского сельского населения по типам занимаемых жилых помещений. Приводится характеристика частных домохозяйств по числу занимаемых комнат, средней обеспеченности общей площадью, времени постройки и материалу наружных стен дома, пол благоустройству жилых помещений и санитарно-гигиеническим условиям проживания. Приведено распределение жилых помещений по их типам и числу проживающих в них частных домохозяйств.</w:t>
      </w:r>
    </w:p>
    <w:p w14:paraId="5CECAD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EDB0A6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342B5FFF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F0E8B3B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528C561C" w14:textId="091E4A96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p w14:paraId="6CD0632F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г.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город;</w:t>
      </w:r>
    </w:p>
    <w:p w14:paraId="1179FB50" w14:textId="0CA3360C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пгт  </w:t>
      </w:r>
      <w:r w:rsidR="00BD2D5F"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- поселок городского типа;</w:t>
      </w:r>
    </w:p>
    <w:p w14:paraId="0FAADBA5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рп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рабочий поселок;</w:t>
      </w:r>
    </w:p>
    <w:p w14:paraId="28B90988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дп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дачный поселок;</w:t>
      </w:r>
    </w:p>
    <w:p w14:paraId="5DAF6FE9" w14:textId="77777777" w:rsidR="00037EA2" w:rsidRPr="00CC5951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кп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ab/>
        <w:t>- курортный поселок;</w:t>
      </w:r>
    </w:p>
    <w:p w14:paraId="66E0AD32" w14:textId="5616370A" w:rsidR="00A10DCF" w:rsidRPr="00CC5951" w:rsidRDefault="00BD2D5F" w:rsidP="00037EA2">
      <w:pPr>
        <w:rPr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          </w:t>
      </w:r>
      <w:r w:rsidR="00037EA2"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- 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    </w:t>
      </w:r>
      <w:r w:rsidR="00037EA2" w:rsidRPr="00CC5951">
        <w:rPr>
          <w:rFonts w:ascii="Times New Roman" w:hAnsi="Times New Roman" w:cs="Times New Roman"/>
          <w:color w:val="221E1F"/>
          <w:sz w:val="26"/>
          <w:szCs w:val="26"/>
        </w:rPr>
        <w:t>- явление отсутствует</w:t>
      </w:r>
    </w:p>
    <w:sectPr w:rsidR="00A10DCF" w:rsidRPr="00CC5951" w:rsidSect="00AF7123">
      <w:pgSz w:w="11904" w:h="16840"/>
      <w:pgMar w:top="851" w:right="567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2"/>
    <w:rsid w:val="00037EA2"/>
    <w:rsid w:val="004604F9"/>
    <w:rsid w:val="004869E9"/>
    <w:rsid w:val="005D03DD"/>
    <w:rsid w:val="00AF7123"/>
    <w:rsid w:val="00BD2D5F"/>
    <w:rsid w:val="00C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F14ED"/>
  <w15:chartTrackingRefBased/>
  <w15:docId w15:val="{0847334A-ED04-42D3-AA4B-34643A3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Федорова Наталья Геннадьевна</cp:lastModifiedBy>
  <cp:revision>4</cp:revision>
  <dcterms:created xsi:type="dcterms:W3CDTF">2022-10-04T05:31:00Z</dcterms:created>
  <dcterms:modified xsi:type="dcterms:W3CDTF">2022-10-04T06:45:00Z</dcterms:modified>
</cp:coreProperties>
</file>